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48AB1" w14:textId="77777777" w:rsidR="00232D5F" w:rsidRDefault="00232D5F" w:rsidP="00232D5F">
      <w:pPr>
        <w:pStyle w:val="Nagwek"/>
      </w:pPr>
      <w:r>
        <w:rPr>
          <w:noProof/>
        </w:rPr>
        <w:drawing>
          <wp:inline distT="0" distB="0" distL="0" distR="0" wp14:anchorId="30D986DD" wp14:editId="241788C1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D92F66" w14:textId="77777777" w:rsidR="00232D5F" w:rsidRDefault="00232D5F">
      <w:pPr>
        <w:rPr>
          <w:rFonts w:cstheme="minorHAnsi"/>
          <w:b/>
        </w:rPr>
      </w:pPr>
    </w:p>
    <w:p w14:paraId="488591CC" w14:textId="084DA712" w:rsidR="000302A5" w:rsidRPr="007C516B" w:rsidRDefault="000302A5" w:rsidP="000302A5">
      <w:pPr>
        <w:rPr>
          <w:rFonts w:cstheme="minorHAnsi"/>
          <w:b/>
        </w:rPr>
      </w:pPr>
      <w:bookmarkStart w:id="0" w:name="_Hlk223353206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2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1</w:t>
      </w:r>
      <w:r>
        <w:rPr>
          <w:rFonts w:cstheme="minorHAnsi"/>
          <w:b/>
        </w:rPr>
        <w:t>1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2</w:t>
      </w:r>
    </w:p>
    <w:p w14:paraId="4737095D" w14:textId="77777777" w:rsidR="000302A5" w:rsidRPr="007C516B" w:rsidRDefault="000302A5" w:rsidP="000302A5">
      <w:pPr>
        <w:rPr>
          <w:rFonts w:cstheme="minorHAnsi"/>
          <w:b/>
          <w:bCs/>
        </w:rPr>
      </w:pPr>
    </w:p>
    <w:p w14:paraId="256F0EDA" w14:textId="77777777" w:rsidR="000302A5" w:rsidRPr="007C516B" w:rsidRDefault="000302A5" w:rsidP="000302A5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65905332" w14:textId="260F1CB5" w:rsidR="00232D5F" w:rsidRPr="000302A5" w:rsidRDefault="000302A5" w:rsidP="000302A5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  <w:bookmarkEnd w:id="0"/>
    </w:p>
    <w:p w14:paraId="743DCD50" w14:textId="3CED9C0A" w:rsidR="00CA08C7" w:rsidRPr="000017F5" w:rsidRDefault="001D28D5" w:rsidP="000302A5">
      <w:pPr>
        <w:jc w:val="center"/>
        <w:rPr>
          <w:rFonts w:cstheme="minorHAnsi"/>
          <w:i/>
        </w:rPr>
      </w:pPr>
      <w:r>
        <w:rPr>
          <w:rFonts w:cstheme="minorHAnsi"/>
          <w:b/>
        </w:rPr>
        <w:t xml:space="preserve">POMPY </w:t>
      </w:r>
      <w:r w:rsidR="00EA5D0F">
        <w:rPr>
          <w:rFonts w:cstheme="minorHAnsi"/>
          <w:b/>
        </w:rPr>
        <w:t>INFUZYJNE</w:t>
      </w:r>
      <w:r w:rsidR="000302A5">
        <w:rPr>
          <w:rFonts w:cstheme="minorHAnsi"/>
          <w:b/>
        </w:rPr>
        <w:t xml:space="preserve"> – 10 SZT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364178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364178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5B4FD7" w:rsidRPr="000017F5" w14:paraId="66A47473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0017F5" w:rsidRDefault="005B4FD7" w:rsidP="00364178">
            <w:pPr>
              <w:pStyle w:val="Akapitzlist"/>
              <w:ind w:left="17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766F5BDD" w:rsidR="005B4FD7" w:rsidRPr="00364178" w:rsidRDefault="00364178" w:rsidP="005B4FD7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64178">
              <w:rPr>
                <w:rFonts w:cstheme="minorHAnsi"/>
                <w:b/>
                <w:sz w:val="20"/>
                <w:szCs w:val="20"/>
              </w:rPr>
              <w:t>Cechy pompy</w:t>
            </w:r>
          </w:p>
        </w:tc>
        <w:tc>
          <w:tcPr>
            <w:tcW w:w="4242" w:type="dxa"/>
            <w:vAlign w:val="center"/>
          </w:tcPr>
          <w:p w14:paraId="552E273F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B87F45A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1E203AE9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Stosowanie strzykawek 2, 5, 6, 10, 12, 20, 30, 35, 50 ml.</w:t>
            </w:r>
          </w:p>
        </w:tc>
        <w:tc>
          <w:tcPr>
            <w:tcW w:w="4242" w:type="dxa"/>
            <w:vAlign w:val="center"/>
          </w:tcPr>
          <w:p w14:paraId="5B9984C9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AED5336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17F5DB5D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Strzykawki montowane od czoła.</w:t>
            </w:r>
          </w:p>
        </w:tc>
        <w:tc>
          <w:tcPr>
            <w:tcW w:w="4242" w:type="dxa"/>
            <w:vAlign w:val="center"/>
          </w:tcPr>
          <w:p w14:paraId="3404102D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7F261E90" w14:textId="77777777" w:rsidTr="00364178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1A10E513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Ramię pompy niewychodzące poza gabaryt obudowy.</w:t>
            </w:r>
          </w:p>
        </w:tc>
        <w:tc>
          <w:tcPr>
            <w:tcW w:w="4242" w:type="dxa"/>
            <w:vAlign w:val="center"/>
          </w:tcPr>
          <w:p w14:paraId="5A4E0BC3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CE626F2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DE9C432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Klawiatura symboliczna i alfanumeryczna umożliwiająca szybkie i intuicyjne programowanie infuzji oraz obsługę </w:t>
            </w:r>
          </w:p>
          <w:p w14:paraId="73E709D5" w14:textId="2C18753A" w:rsidR="005B4FD7" w:rsidRPr="000017F5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pompy-nie dopuszcza się klawiatury wyświetlanej na ekranie pompy.</w:t>
            </w:r>
          </w:p>
        </w:tc>
        <w:tc>
          <w:tcPr>
            <w:tcW w:w="4242" w:type="dxa"/>
            <w:vAlign w:val="center"/>
          </w:tcPr>
          <w:p w14:paraId="017126B2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355B65D4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220CEADD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</w:t>
            </w:r>
            <w:r w:rsidRPr="00364178">
              <w:rPr>
                <w:rFonts w:cstheme="minorHAnsi"/>
                <w:bCs/>
                <w:sz w:val="20"/>
                <w:szCs w:val="20"/>
              </w:rPr>
              <w:t>ysokość pompy 11,5cm</w:t>
            </w:r>
          </w:p>
        </w:tc>
        <w:tc>
          <w:tcPr>
            <w:tcW w:w="4242" w:type="dxa"/>
            <w:vAlign w:val="center"/>
          </w:tcPr>
          <w:p w14:paraId="4780DAEC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FE59442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75C7F79F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Szybkość dozowania w zakresie 0,01-2000 ml/h</w:t>
            </w:r>
          </w:p>
        </w:tc>
        <w:tc>
          <w:tcPr>
            <w:tcW w:w="4242" w:type="dxa"/>
            <w:vAlign w:val="center"/>
          </w:tcPr>
          <w:p w14:paraId="0EB27956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C924FFB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AEA53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Programowanie parametrów infuzji w jednostkach: </w:t>
            </w:r>
          </w:p>
          <w:p w14:paraId="234C3883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▪ ml, L, </w:t>
            </w:r>
          </w:p>
          <w:p w14:paraId="3E20C292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▪ </w:t>
            </w:r>
            <w:proofErr w:type="spellStart"/>
            <w:r w:rsidRPr="00364178">
              <w:rPr>
                <w:rFonts w:cstheme="minorHAnsi"/>
                <w:bCs/>
                <w:sz w:val="20"/>
                <w:szCs w:val="20"/>
              </w:rPr>
              <w:t>ng</w:t>
            </w:r>
            <w:proofErr w:type="spellEnd"/>
            <w:r w:rsidRPr="00364178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364178">
              <w:rPr>
                <w:rFonts w:cstheme="minorHAnsi"/>
                <w:bCs/>
                <w:sz w:val="20"/>
                <w:szCs w:val="20"/>
              </w:rPr>
              <w:t>μg</w:t>
            </w:r>
            <w:proofErr w:type="spellEnd"/>
            <w:r w:rsidRPr="00364178">
              <w:rPr>
                <w:rFonts w:cstheme="minorHAnsi"/>
                <w:bCs/>
                <w:sz w:val="20"/>
                <w:szCs w:val="20"/>
              </w:rPr>
              <w:t xml:space="preserve">, mg, g, </w:t>
            </w:r>
          </w:p>
          <w:p w14:paraId="09D531BC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▪ </w:t>
            </w:r>
            <w:proofErr w:type="spellStart"/>
            <w:r w:rsidRPr="00364178">
              <w:rPr>
                <w:rFonts w:cstheme="minorHAnsi"/>
                <w:bCs/>
                <w:sz w:val="20"/>
                <w:szCs w:val="20"/>
              </w:rPr>
              <w:t>μEq</w:t>
            </w:r>
            <w:proofErr w:type="spellEnd"/>
            <w:r w:rsidRPr="00364178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364178">
              <w:rPr>
                <w:rFonts w:cstheme="minorHAnsi"/>
                <w:bCs/>
                <w:sz w:val="20"/>
                <w:szCs w:val="20"/>
              </w:rPr>
              <w:t>mEq</w:t>
            </w:r>
            <w:proofErr w:type="spellEnd"/>
            <w:r w:rsidRPr="00364178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364178">
              <w:rPr>
                <w:rFonts w:cstheme="minorHAnsi"/>
                <w:bCs/>
                <w:sz w:val="20"/>
                <w:szCs w:val="20"/>
              </w:rPr>
              <w:t>Eq</w:t>
            </w:r>
            <w:proofErr w:type="spellEnd"/>
            <w:r w:rsidRPr="00364178">
              <w:rPr>
                <w:rFonts w:cstheme="minorHAnsi"/>
                <w:bCs/>
                <w:sz w:val="20"/>
                <w:szCs w:val="20"/>
              </w:rPr>
              <w:t xml:space="preserve">, </w:t>
            </w:r>
          </w:p>
          <w:p w14:paraId="52E1B2D7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▪ </w:t>
            </w:r>
            <w:proofErr w:type="spellStart"/>
            <w:r w:rsidRPr="00364178">
              <w:rPr>
                <w:rFonts w:cstheme="minorHAnsi"/>
                <w:bCs/>
                <w:sz w:val="20"/>
                <w:szCs w:val="20"/>
              </w:rPr>
              <w:t>mlU</w:t>
            </w:r>
            <w:proofErr w:type="spellEnd"/>
            <w:r w:rsidRPr="00364178">
              <w:rPr>
                <w:rFonts w:cstheme="minorHAnsi"/>
                <w:bCs/>
                <w:sz w:val="20"/>
                <w:szCs w:val="20"/>
              </w:rPr>
              <w:t xml:space="preserve">, IU, </w:t>
            </w:r>
            <w:proofErr w:type="spellStart"/>
            <w:r w:rsidRPr="00364178">
              <w:rPr>
                <w:rFonts w:cstheme="minorHAnsi"/>
                <w:bCs/>
                <w:sz w:val="20"/>
                <w:szCs w:val="20"/>
              </w:rPr>
              <w:t>kIU</w:t>
            </w:r>
            <w:proofErr w:type="spellEnd"/>
            <w:r w:rsidRPr="00364178">
              <w:rPr>
                <w:rFonts w:cstheme="minorHAnsi"/>
                <w:bCs/>
                <w:sz w:val="20"/>
                <w:szCs w:val="20"/>
              </w:rPr>
              <w:t xml:space="preserve">, </w:t>
            </w:r>
          </w:p>
          <w:p w14:paraId="3796CF21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▪ </w:t>
            </w:r>
            <w:proofErr w:type="spellStart"/>
            <w:r w:rsidRPr="00364178">
              <w:rPr>
                <w:rFonts w:cstheme="minorHAnsi"/>
                <w:bCs/>
                <w:sz w:val="20"/>
                <w:szCs w:val="20"/>
              </w:rPr>
              <w:t>mIE</w:t>
            </w:r>
            <w:proofErr w:type="spellEnd"/>
            <w:r w:rsidRPr="00364178">
              <w:rPr>
                <w:rFonts w:cstheme="minorHAnsi"/>
                <w:bCs/>
                <w:sz w:val="20"/>
                <w:szCs w:val="20"/>
              </w:rPr>
              <w:t xml:space="preserve">, IE, </w:t>
            </w:r>
            <w:proofErr w:type="spellStart"/>
            <w:r w:rsidRPr="00364178">
              <w:rPr>
                <w:rFonts w:cstheme="minorHAnsi"/>
                <w:bCs/>
                <w:sz w:val="20"/>
                <w:szCs w:val="20"/>
              </w:rPr>
              <w:t>kIE</w:t>
            </w:r>
            <w:proofErr w:type="spellEnd"/>
            <w:r w:rsidRPr="00364178">
              <w:rPr>
                <w:rFonts w:cstheme="minorHAnsi"/>
                <w:bCs/>
                <w:sz w:val="20"/>
                <w:szCs w:val="20"/>
              </w:rPr>
              <w:t xml:space="preserve">, </w:t>
            </w:r>
          </w:p>
          <w:p w14:paraId="2F94E37B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▪ cal, kcal, </w:t>
            </w:r>
          </w:p>
          <w:p w14:paraId="7DE7ABE3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▪ J, </w:t>
            </w:r>
            <w:proofErr w:type="spellStart"/>
            <w:r w:rsidRPr="00364178">
              <w:rPr>
                <w:rFonts w:cstheme="minorHAnsi"/>
                <w:bCs/>
                <w:sz w:val="20"/>
                <w:szCs w:val="20"/>
              </w:rPr>
              <w:t>kJ</w:t>
            </w:r>
            <w:proofErr w:type="spellEnd"/>
            <w:r w:rsidRPr="00364178">
              <w:rPr>
                <w:rFonts w:cstheme="minorHAnsi"/>
                <w:bCs/>
                <w:sz w:val="20"/>
                <w:szCs w:val="20"/>
              </w:rPr>
              <w:t xml:space="preserve">, </w:t>
            </w:r>
          </w:p>
          <w:p w14:paraId="3BBA2B3C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▪ </w:t>
            </w:r>
            <w:proofErr w:type="spellStart"/>
            <w:r w:rsidRPr="00364178">
              <w:rPr>
                <w:rFonts w:cstheme="minorHAnsi"/>
                <w:bCs/>
                <w:sz w:val="20"/>
                <w:szCs w:val="20"/>
              </w:rPr>
              <w:t>mmol</w:t>
            </w:r>
            <w:proofErr w:type="spellEnd"/>
            <w:r w:rsidRPr="00364178">
              <w:rPr>
                <w:rFonts w:cstheme="minorHAnsi"/>
                <w:bCs/>
                <w:sz w:val="20"/>
                <w:szCs w:val="20"/>
              </w:rPr>
              <w:t xml:space="preserve">, mol,  </w:t>
            </w:r>
          </w:p>
          <w:p w14:paraId="70197BBA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z uwzględnieniem wagi pacjenta lub nie, </w:t>
            </w:r>
          </w:p>
          <w:p w14:paraId="1CAC9418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z uwzględnieniem powierzchni pacjenta lub nie,  </w:t>
            </w:r>
          </w:p>
          <w:p w14:paraId="1AD93FE1" w14:textId="23BA2A92" w:rsidR="005B4FD7" w:rsidRPr="000017F5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na min, godz., dobę</w:t>
            </w:r>
          </w:p>
        </w:tc>
        <w:tc>
          <w:tcPr>
            <w:tcW w:w="4242" w:type="dxa"/>
            <w:vAlign w:val="center"/>
          </w:tcPr>
          <w:p w14:paraId="1B746D50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FA417F8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775DF189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Z</w:t>
            </w:r>
            <w:r w:rsidRPr="00364178">
              <w:rPr>
                <w:rFonts w:cstheme="minorHAnsi"/>
                <w:bCs/>
                <w:sz w:val="20"/>
                <w:szCs w:val="20"/>
              </w:rPr>
              <w:t>abezpieczenie przed gwałtowną zmianą szybkości w trakcie trwania infuzji (miareczkowanie).</w:t>
            </w:r>
          </w:p>
        </w:tc>
        <w:tc>
          <w:tcPr>
            <w:tcW w:w="4242" w:type="dxa"/>
            <w:vAlign w:val="center"/>
          </w:tcPr>
          <w:p w14:paraId="1EDD6CD0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2ACE9BB" w14:textId="77777777" w:rsidTr="00364178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7EA1034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Tryby dozowania: </w:t>
            </w:r>
          </w:p>
          <w:p w14:paraId="097C5B42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Infuzja ciągła, </w:t>
            </w:r>
          </w:p>
          <w:p w14:paraId="02C5A795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Infuzja bolusowa (z przerwą), </w:t>
            </w:r>
          </w:p>
          <w:p w14:paraId="73BA9FDF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Infuzja profilowa (min. 16 kroków infuzji), </w:t>
            </w:r>
          </w:p>
          <w:p w14:paraId="1AD33436" w14:textId="59941650" w:rsidR="005B4FD7" w:rsidRPr="000017F5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• Infuzja TPN (narastanie / utrzymanie / opadanie).</w:t>
            </w:r>
          </w:p>
        </w:tc>
        <w:tc>
          <w:tcPr>
            <w:tcW w:w="4242" w:type="dxa"/>
            <w:vAlign w:val="center"/>
          </w:tcPr>
          <w:p w14:paraId="3386BA7C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0A96815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6B105E3" w14:textId="774F2022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Dokładność infuzji ± 2%</w:t>
            </w:r>
          </w:p>
        </w:tc>
        <w:tc>
          <w:tcPr>
            <w:tcW w:w="4242" w:type="dxa"/>
            <w:vAlign w:val="center"/>
          </w:tcPr>
          <w:p w14:paraId="003BC962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940DB87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BE3EEC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Programowanie parametrów podaży Bolus-a i dawki indukcyjnej: </w:t>
            </w:r>
          </w:p>
          <w:p w14:paraId="7380C151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objętość / dawka </w:t>
            </w:r>
          </w:p>
          <w:p w14:paraId="079A16F3" w14:textId="2D853B9C" w:rsidR="005B4FD7" w:rsidRPr="000017F5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• czas lub szybkość podaży</w:t>
            </w:r>
          </w:p>
        </w:tc>
        <w:tc>
          <w:tcPr>
            <w:tcW w:w="4242" w:type="dxa"/>
            <w:vAlign w:val="center"/>
          </w:tcPr>
          <w:p w14:paraId="3D6F1336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76445716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B1ED741" w14:textId="77FC47FE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Automatyczna zmniejszenie szybkości podaży bolusa, w celu uniknięcia przerwania infuzji na skutek alarmu okluzji.</w:t>
            </w:r>
          </w:p>
        </w:tc>
        <w:tc>
          <w:tcPr>
            <w:tcW w:w="4242" w:type="dxa"/>
            <w:vAlign w:val="center"/>
          </w:tcPr>
          <w:p w14:paraId="7934B658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EAEFBD4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2CBA6D4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Możliwość wgrania do pompy biblioteki leków złożonej z procedur dozowania zawierających co najmniej: </w:t>
            </w:r>
          </w:p>
          <w:p w14:paraId="79CBC8BC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nazwy leku, </w:t>
            </w:r>
          </w:p>
          <w:p w14:paraId="19E0DD91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10 koncentracji leku, </w:t>
            </w:r>
          </w:p>
          <w:p w14:paraId="62A0D486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szybkości dozowania (dawkowanie), </w:t>
            </w:r>
          </w:p>
          <w:p w14:paraId="4F05F225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całkowitej objętości (dawki) infuzji, </w:t>
            </w:r>
          </w:p>
          <w:p w14:paraId="32274AA3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parametrów bolusa, oraz dawki indukcyjnej, </w:t>
            </w:r>
          </w:p>
          <w:p w14:paraId="286716D9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limitów dla wymienionych parametrów infuzji: </w:t>
            </w:r>
          </w:p>
          <w:p w14:paraId="15E44F30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o miękkich, ostrzegających o przekroczeniu zalecanych wartości parametrów,  </w:t>
            </w:r>
          </w:p>
          <w:p w14:paraId="72BE9B6F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o twardych – blokujących możliwość wprowadzenia wartości spoza ich zakresu. </w:t>
            </w:r>
          </w:p>
          <w:p w14:paraId="155DD79B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Notatki doradczej możliwej do odczytania przed rozpoczęciem infuzji. </w:t>
            </w:r>
          </w:p>
          <w:p w14:paraId="4C250689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Podział biblioteki na osobne grupy dedykowane poszczególnym oddziałom szpitalnym, do 40 oddziałów. </w:t>
            </w:r>
          </w:p>
          <w:p w14:paraId="43789C92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Wybór oddziału dostępny w pompie. </w:t>
            </w:r>
          </w:p>
          <w:p w14:paraId="051B6EF9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Podział biblioteki dedykowanej oddziałom na 40 kategorii lekowych. </w:t>
            </w:r>
          </w:p>
          <w:p w14:paraId="10C1623B" w14:textId="087D0972" w:rsidR="005B4FD7" w:rsidRPr="000017F5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Pojemność biblioteki 4000 procedur dozowania leków.</w:t>
            </w:r>
          </w:p>
        </w:tc>
        <w:tc>
          <w:tcPr>
            <w:tcW w:w="4242" w:type="dxa"/>
            <w:vAlign w:val="center"/>
          </w:tcPr>
          <w:p w14:paraId="65E21E3D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6A3FA0A" w14:textId="77777777" w:rsidTr="00364178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5B4FD7" w:rsidRPr="00364178" w:rsidRDefault="005B4FD7" w:rsidP="00364178">
            <w:pPr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2F11A1B" w14:textId="1B33A4C2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Cechy pompy</w:t>
            </w:r>
          </w:p>
        </w:tc>
        <w:tc>
          <w:tcPr>
            <w:tcW w:w="4242" w:type="dxa"/>
            <w:vAlign w:val="center"/>
          </w:tcPr>
          <w:p w14:paraId="66835014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1D07C01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35A1265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Ekran infuzji umożliwiający wyświetlenie następujących informacji jednocześnie: </w:t>
            </w:r>
          </w:p>
          <w:p w14:paraId="71807286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nazwa leku, </w:t>
            </w:r>
          </w:p>
          <w:p w14:paraId="67B6639B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koncentracja leku, </w:t>
            </w:r>
          </w:p>
          <w:p w14:paraId="5B1824EC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szybkość infuzji, </w:t>
            </w:r>
          </w:p>
          <w:p w14:paraId="484D55FD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informacji, że wartość szybkości infuzji mieści się w zalecanym zakresie lub znajduje się w zakresie limitu </w:t>
            </w:r>
          </w:p>
          <w:p w14:paraId="59E8A619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miękkiego dolnego lub górnego, </w:t>
            </w:r>
          </w:p>
          <w:p w14:paraId="4D38E918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podana dawka, </w:t>
            </w:r>
          </w:p>
          <w:p w14:paraId="1B5319A9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poziom limitów dla szybkości infuzji, </w:t>
            </w:r>
          </w:p>
          <w:p w14:paraId="5E0C1700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czas do końca dawki lub czas do końca strzykawki w formie graficznej, </w:t>
            </w:r>
          </w:p>
          <w:p w14:paraId="10DB3418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kategorii leku wyodrębnionej kolorem, </w:t>
            </w:r>
          </w:p>
          <w:p w14:paraId="446A2F12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stan naładowania akumulatora, </w:t>
            </w:r>
          </w:p>
          <w:p w14:paraId="2BEDFD5D" w14:textId="389CA1C7" w:rsidR="005B4FD7" w:rsidRPr="000017F5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• aktualne ciśnienie w linii pacjenta w formie graficznej</w:t>
            </w:r>
          </w:p>
        </w:tc>
        <w:tc>
          <w:tcPr>
            <w:tcW w:w="4242" w:type="dxa"/>
            <w:vAlign w:val="center"/>
          </w:tcPr>
          <w:p w14:paraId="641DAF07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19B479F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9DFAEFF" w14:textId="5849421B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Ekran dotykowy, przyspieszający wybór funkcji pompy.</w:t>
            </w:r>
          </w:p>
        </w:tc>
        <w:tc>
          <w:tcPr>
            <w:tcW w:w="4242" w:type="dxa"/>
            <w:vAlign w:val="center"/>
          </w:tcPr>
          <w:p w14:paraId="3549219D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3E5735FB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78EC83A" w14:textId="2AF4B69A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Kolorystyczne wyróżnienie ekranu infuzji do żywienia dojelitowego względem innych realizowanych infuzji</w:t>
            </w:r>
          </w:p>
        </w:tc>
        <w:tc>
          <w:tcPr>
            <w:tcW w:w="4242" w:type="dxa"/>
            <w:vAlign w:val="center"/>
          </w:tcPr>
          <w:p w14:paraId="5BA404C1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570F3458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A92453F" w14:textId="3E8AD80E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Napisy na wyświetlaczu w języku polskim.</w:t>
            </w:r>
          </w:p>
        </w:tc>
        <w:tc>
          <w:tcPr>
            <w:tcW w:w="4242" w:type="dxa"/>
            <w:vAlign w:val="center"/>
          </w:tcPr>
          <w:p w14:paraId="3877629F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62648397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1E628E3" w14:textId="6F3CE701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Regulowane progi ciśnienia okluzji, 12 poziomów.</w:t>
            </w:r>
          </w:p>
        </w:tc>
        <w:tc>
          <w:tcPr>
            <w:tcW w:w="4242" w:type="dxa"/>
            <w:vAlign w:val="center"/>
          </w:tcPr>
          <w:p w14:paraId="65BB6D7F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28580A50" w14:textId="77777777" w:rsidTr="00364178">
        <w:trPr>
          <w:trHeight w:val="253"/>
        </w:trPr>
        <w:tc>
          <w:tcPr>
            <w:tcW w:w="650" w:type="dxa"/>
            <w:vAlign w:val="center"/>
          </w:tcPr>
          <w:p w14:paraId="45192B9F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1AB3E96" w14:textId="5F3E8E75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Progi ciśnienia regulowane w zakresie 75-900 mmHg</w:t>
            </w:r>
          </w:p>
        </w:tc>
        <w:tc>
          <w:tcPr>
            <w:tcW w:w="4242" w:type="dxa"/>
            <w:vAlign w:val="center"/>
          </w:tcPr>
          <w:p w14:paraId="518CF9CD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B4FD7" w:rsidRPr="000017F5" w14:paraId="16451DC6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5490548F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008E650" w14:textId="72953A67" w:rsidR="005B4FD7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Zmiana progu ciśnienia okluzji bez przerywania infuzji</w:t>
            </w:r>
          </w:p>
        </w:tc>
        <w:tc>
          <w:tcPr>
            <w:tcW w:w="4242" w:type="dxa"/>
            <w:vAlign w:val="center"/>
          </w:tcPr>
          <w:p w14:paraId="30786846" w14:textId="77777777" w:rsidR="005B4FD7" w:rsidRPr="000017F5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B7A3A" w:rsidRPr="000017F5" w14:paraId="2DBE2B1A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3BC6A0BF" w14:textId="77777777" w:rsidR="003B7A3A" w:rsidRPr="000017F5" w:rsidRDefault="003B7A3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119554" w14:textId="04045416" w:rsidR="003B7A3A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Automatyczna redukcja bolusa okluzyjnego.</w:t>
            </w:r>
          </w:p>
        </w:tc>
        <w:tc>
          <w:tcPr>
            <w:tcW w:w="4242" w:type="dxa"/>
            <w:vAlign w:val="center"/>
          </w:tcPr>
          <w:p w14:paraId="139A9E78" w14:textId="77777777" w:rsidR="003B7A3A" w:rsidRPr="000017F5" w:rsidRDefault="003B7A3A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B7A3A" w:rsidRPr="000017F5" w14:paraId="4DBEDCE3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58F438CB" w14:textId="77777777" w:rsidR="003B7A3A" w:rsidRPr="000017F5" w:rsidRDefault="003B7A3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A6DE73D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Priorytetowy system alarmów, zapewniający zróżnicowany sygnał dźwiękowy i świetlny, zależnie od stopnia </w:t>
            </w:r>
          </w:p>
          <w:p w14:paraId="2C33A7B4" w14:textId="754CE10E" w:rsidR="003B7A3A" w:rsidRPr="000017F5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zagrożenia</w:t>
            </w:r>
          </w:p>
        </w:tc>
        <w:tc>
          <w:tcPr>
            <w:tcW w:w="4242" w:type="dxa"/>
            <w:vAlign w:val="center"/>
          </w:tcPr>
          <w:p w14:paraId="54B563B4" w14:textId="77777777" w:rsidR="003B7A3A" w:rsidRPr="000017F5" w:rsidRDefault="003B7A3A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A08C7" w:rsidRPr="000017F5" w14:paraId="1CE9A586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7493EE52" w14:textId="77777777" w:rsidR="00CA08C7" w:rsidRPr="000017F5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9E035D6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Możliwość instalacji pompy w stacji dokującej: </w:t>
            </w:r>
          </w:p>
          <w:p w14:paraId="297E3EE2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Zatrzaskowe mocowanie z automatyczną blokadą, bez konieczności przykręcania. </w:t>
            </w:r>
          </w:p>
          <w:p w14:paraId="6B3F3A57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Alarm nieprawidłowego mocowania pomp w stacji, </w:t>
            </w:r>
          </w:p>
          <w:p w14:paraId="73AE1E6D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Pompy mocowane niezależnie, jedna nad drugą,  </w:t>
            </w:r>
          </w:p>
          <w:p w14:paraId="79D2417E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Automatyczne przyłączenie zasilania ze stacji dokującej, </w:t>
            </w:r>
          </w:p>
          <w:p w14:paraId="12276F65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• Automatyczne przyłączenie portu komunikacyjnego ze stacji dokującej, </w:t>
            </w:r>
          </w:p>
          <w:p w14:paraId="6A2AC53C" w14:textId="0DE92978" w:rsidR="00CA08C7" w:rsidRPr="000017F5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• Świetlna sygnalizacja stanu pomp: infuzja, alarm, STOP.</w:t>
            </w:r>
          </w:p>
        </w:tc>
        <w:tc>
          <w:tcPr>
            <w:tcW w:w="4242" w:type="dxa"/>
            <w:vAlign w:val="center"/>
          </w:tcPr>
          <w:p w14:paraId="05DD7BF9" w14:textId="77777777" w:rsidR="00CA08C7" w:rsidRPr="000017F5" w:rsidRDefault="00CA08C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A08C7" w:rsidRPr="000017F5" w14:paraId="5D06F5C4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4A7FC3A5" w14:textId="77777777" w:rsidR="00CA08C7" w:rsidRPr="000017F5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242DAEB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Mocowanie pojedynczej pompy do statywów lub pionowych kolumn niewymagające dołączenia jakichkolwiek </w:t>
            </w:r>
          </w:p>
          <w:p w14:paraId="22817319" w14:textId="19D5338E" w:rsidR="00CA08C7" w:rsidRPr="000017F5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części, w szczególności uchwytu mocującego, po bezpośrednim wyjęciu pompy z stacji dokującej.</w:t>
            </w:r>
          </w:p>
        </w:tc>
        <w:tc>
          <w:tcPr>
            <w:tcW w:w="4242" w:type="dxa"/>
            <w:vAlign w:val="center"/>
          </w:tcPr>
          <w:p w14:paraId="5B295DF9" w14:textId="77777777" w:rsidR="00CA08C7" w:rsidRPr="000017F5" w:rsidRDefault="00CA08C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A08C7" w:rsidRPr="000017F5" w14:paraId="692606A9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6F0F5803" w14:textId="77777777" w:rsidR="00CA08C7" w:rsidRPr="000017F5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99C4C8E" w14:textId="77777777" w:rsidR="00364178" w:rsidRPr="00364178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Uchwyt do przenoszenia pompy na stałe związany z pompą, niewymagający odłączania przy mocowaniu pomp </w:t>
            </w:r>
          </w:p>
          <w:p w14:paraId="3AB055F0" w14:textId="4C319809" w:rsidR="00CA08C7" w:rsidRPr="000017F5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w stacjach dokujących.</w:t>
            </w:r>
          </w:p>
        </w:tc>
        <w:tc>
          <w:tcPr>
            <w:tcW w:w="4242" w:type="dxa"/>
            <w:vAlign w:val="center"/>
          </w:tcPr>
          <w:p w14:paraId="19DDB2EE" w14:textId="77777777" w:rsidR="00CA08C7" w:rsidRPr="000017F5" w:rsidRDefault="00CA08C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A08C7" w:rsidRPr="000017F5" w14:paraId="4AE40C5D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72DA760E" w14:textId="77777777" w:rsidR="00CA08C7" w:rsidRPr="000017F5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1EFF02C" w14:textId="54E90D1B" w:rsidR="00CA08C7" w:rsidRPr="000017F5" w:rsidRDefault="00364178" w:rsidP="00364178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 xml:space="preserve">Możliwość komunikacji pomp umieszczonych w stacjach dokujących wyposażonych w </w:t>
            </w:r>
            <w:proofErr w:type="spellStart"/>
            <w:r w:rsidRPr="00364178">
              <w:rPr>
                <w:rFonts w:cstheme="minorHAnsi"/>
                <w:bCs/>
                <w:sz w:val="20"/>
                <w:szCs w:val="20"/>
              </w:rPr>
              <w:t>interface</w:t>
            </w:r>
            <w:proofErr w:type="spellEnd"/>
            <w:r w:rsidRPr="00364178">
              <w:rPr>
                <w:rFonts w:cstheme="minorHAnsi"/>
                <w:bCs/>
                <w:sz w:val="20"/>
                <w:szCs w:val="20"/>
              </w:rPr>
              <w:t xml:space="preserve"> LAN z oprogramowaniem zewnętrznym</w:t>
            </w:r>
          </w:p>
        </w:tc>
        <w:tc>
          <w:tcPr>
            <w:tcW w:w="4242" w:type="dxa"/>
            <w:vAlign w:val="center"/>
          </w:tcPr>
          <w:p w14:paraId="2CDD8FD8" w14:textId="77777777" w:rsidR="00CA08C7" w:rsidRPr="000017F5" w:rsidRDefault="00CA08C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4178" w:rsidRPr="000017F5" w14:paraId="35081739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41A35610" w14:textId="77777777" w:rsidR="00364178" w:rsidRPr="000017F5" w:rsidRDefault="00364178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2298BE4" w14:textId="47E91C22" w:rsidR="00364178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Historia infuzji – możliwość zapamiętania 2000 zdarzeń oznaczonych datą i godziną zdarzenia</w:t>
            </w:r>
          </w:p>
        </w:tc>
        <w:tc>
          <w:tcPr>
            <w:tcW w:w="4242" w:type="dxa"/>
            <w:vAlign w:val="center"/>
          </w:tcPr>
          <w:p w14:paraId="7EE868C4" w14:textId="77777777" w:rsidR="00364178" w:rsidRPr="000017F5" w:rsidRDefault="00364178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4178" w:rsidRPr="000017F5" w14:paraId="006DEB1C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126FAE77" w14:textId="77777777" w:rsidR="00364178" w:rsidRPr="000017F5" w:rsidRDefault="00364178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184CD04" w14:textId="51DA8449" w:rsidR="00364178" w:rsidRPr="000017F5" w:rsidRDefault="00364178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64178">
              <w:rPr>
                <w:rFonts w:cstheme="minorHAnsi"/>
                <w:bCs/>
                <w:sz w:val="20"/>
                <w:szCs w:val="20"/>
              </w:rPr>
              <w:t>Klasa ochrony II, typ CF, odporność na defibrylację, ochrona obudowy IP22</w:t>
            </w:r>
          </w:p>
        </w:tc>
        <w:tc>
          <w:tcPr>
            <w:tcW w:w="4242" w:type="dxa"/>
            <w:vAlign w:val="center"/>
          </w:tcPr>
          <w:p w14:paraId="3EB9FEBA" w14:textId="77777777" w:rsidR="00364178" w:rsidRPr="000017F5" w:rsidRDefault="00364178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4178" w:rsidRPr="000017F5" w14:paraId="32FA519C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13E133DE" w14:textId="77777777" w:rsidR="00364178" w:rsidRPr="000017F5" w:rsidRDefault="00364178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18F82F2" w14:textId="2479D261" w:rsidR="00364178" w:rsidRPr="000017F5" w:rsidRDefault="001D28D5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28D5">
              <w:rPr>
                <w:rFonts w:cstheme="minorHAnsi"/>
                <w:bCs/>
                <w:sz w:val="20"/>
                <w:szCs w:val="20"/>
              </w:rPr>
              <w:t>Zasilanie pomp mocowanych poza stacją dokującą bezpośrednio z sieci energetycznej</w:t>
            </w:r>
          </w:p>
        </w:tc>
        <w:tc>
          <w:tcPr>
            <w:tcW w:w="4242" w:type="dxa"/>
            <w:vAlign w:val="center"/>
          </w:tcPr>
          <w:p w14:paraId="399F6534" w14:textId="77777777" w:rsidR="00364178" w:rsidRPr="000017F5" w:rsidRDefault="00364178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4178" w:rsidRPr="000017F5" w14:paraId="27844413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48199FB8" w14:textId="77777777" w:rsidR="00364178" w:rsidRPr="000017F5" w:rsidRDefault="00364178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112BB7" w14:textId="3A78198C" w:rsidR="00364178" w:rsidRPr="000017F5" w:rsidRDefault="001D28D5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28D5">
              <w:rPr>
                <w:rFonts w:cstheme="minorHAnsi"/>
                <w:bCs/>
                <w:sz w:val="20"/>
                <w:szCs w:val="20"/>
              </w:rPr>
              <w:t>Czas pracy z akumulatora do 30 h przy infuzji 5ml/h</w:t>
            </w:r>
          </w:p>
        </w:tc>
        <w:tc>
          <w:tcPr>
            <w:tcW w:w="4242" w:type="dxa"/>
            <w:vAlign w:val="center"/>
          </w:tcPr>
          <w:p w14:paraId="1FC6C51A" w14:textId="77777777" w:rsidR="00364178" w:rsidRPr="000017F5" w:rsidRDefault="00364178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4178" w:rsidRPr="000017F5" w14:paraId="6CDE1826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18344746" w14:textId="77777777" w:rsidR="00364178" w:rsidRPr="000017F5" w:rsidRDefault="00364178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89F0F04" w14:textId="67A990A1" w:rsidR="00364178" w:rsidRPr="000017F5" w:rsidRDefault="001D28D5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C</w:t>
            </w:r>
            <w:r w:rsidRPr="001D28D5">
              <w:rPr>
                <w:rFonts w:cstheme="minorHAnsi"/>
                <w:bCs/>
                <w:sz w:val="20"/>
                <w:szCs w:val="20"/>
              </w:rPr>
              <w:t>zas ładowania akumulatora do 100% po pełnym rozładowaniu – poniżej 5 h</w:t>
            </w:r>
          </w:p>
        </w:tc>
        <w:tc>
          <w:tcPr>
            <w:tcW w:w="4242" w:type="dxa"/>
            <w:vAlign w:val="center"/>
          </w:tcPr>
          <w:p w14:paraId="790FC3F9" w14:textId="77777777" w:rsidR="00364178" w:rsidRPr="000017F5" w:rsidRDefault="00364178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364178" w:rsidRPr="000017F5" w14:paraId="177FF32F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1F514AD7" w14:textId="77777777" w:rsidR="00364178" w:rsidRPr="000017F5" w:rsidRDefault="00364178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CB0D647" w14:textId="68C341EB" w:rsidR="00364178" w:rsidRPr="000017F5" w:rsidRDefault="001D28D5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28D5">
              <w:rPr>
                <w:rFonts w:cstheme="minorHAnsi"/>
                <w:bCs/>
                <w:sz w:val="20"/>
                <w:szCs w:val="20"/>
              </w:rPr>
              <w:t>Waga do 2,3 kg</w:t>
            </w:r>
            <w:r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77190FCC" w14:textId="77777777" w:rsidR="00364178" w:rsidRPr="000017F5" w:rsidRDefault="00364178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302A5" w:rsidRPr="000017F5" w14:paraId="3F3D1E59" w14:textId="77777777" w:rsidTr="005372E3">
        <w:trPr>
          <w:trHeight w:val="241"/>
        </w:trPr>
        <w:tc>
          <w:tcPr>
            <w:tcW w:w="9186" w:type="dxa"/>
            <w:gridSpan w:val="3"/>
            <w:vAlign w:val="center"/>
          </w:tcPr>
          <w:p w14:paraId="225C051E" w14:textId="75171430" w:rsidR="000302A5" w:rsidRPr="000017F5" w:rsidRDefault="000302A5" w:rsidP="00CD3C3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POZOSTAŁE WYMAGANIA</w:t>
            </w:r>
          </w:p>
        </w:tc>
      </w:tr>
      <w:tr w:rsidR="000302A5" w:rsidRPr="000017F5" w14:paraId="7C074098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3BAE8CE9" w14:textId="77777777" w:rsidR="000302A5" w:rsidRPr="000017F5" w:rsidRDefault="000302A5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260AB33" w14:textId="0F42B991" w:rsidR="000302A5" w:rsidRPr="001D28D5" w:rsidRDefault="000302A5" w:rsidP="000302A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302A5">
              <w:rPr>
                <w:rFonts w:cstheme="minorHAnsi"/>
                <w:bCs/>
                <w:sz w:val="20"/>
                <w:szCs w:val="20"/>
              </w:rPr>
              <w:t>Gwarancja min. 24 miesiące</w:t>
            </w:r>
          </w:p>
        </w:tc>
        <w:tc>
          <w:tcPr>
            <w:tcW w:w="4242" w:type="dxa"/>
            <w:vAlign w:val="center"/>
          </w:tcPr>
          <w:p w14:paraId="4194943A" w14:textId="77777777" w:rsidR="000302A5" w:rsidRPr="000017F5" w:rsidRDefault="000302A5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302A5" w:rsidRPr="000017F5" w14:paraId="436115E0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78F13454" w14:textId="77777777" w:rsidR="000302A5" w:rsidRPr="000017F5" w:rsidRDefault="000302A5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87183DC" w14:textId="1ACEEC0F" w:rsidR="000302A5" w:rsidRPr="001D28D5" w:rsidRDefault="000302A5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302A5">
              <w:rPr>
                <w:rFonts w:cstheme="minorHAnsi"/>
                <w:bCs/>
                <w:sz w:val="20"/>
                <w:szCs w:val="20"/>
              </w:rPr>
              <w:t>Deklaracja zgodności CE,  Certyfikaty, dopuszczenie do obrotu</w:t>
            </w:r>
          </w:p>
        </w:tc>
        <w:tc>
          <w:tcPr>
            <w:tcW w:w="4242" w:type="dxa"/>
            <w:vAlign w:val="center"/>
          </w:tcPr>
          <w:p w14:paraId="15DC66D1" w14:textId="77777777" w:rsidR="000302A5" w:rsidRPr="000017F5" w:rsidRDefault="000302A5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302A5" w:rsidRPr="000017F5" w14:paraId="42AA870E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548519B4" w14:textId="77777777" w:rsidR="000302A5" w:rsidRPr="000017F5" w:rsidRDefault="000302A5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7CB903E" w14:textId="77777777" w:rsidR="000302A5" w:rsidRPr="000302A5" w:rsidRDefault="000302A5" w:rsidP="000302A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302A5">
              <w:rPr>
                <w:rFonts w:cstheme="minorHAnsi"/>
                <w:bCs/>
                <w:sz w:val="20"/>
                <w:szCs w:val="20"/>
              </w:rPr>
              <w:t>Serwis gwarancyjny i pogwarancyjny na terenie Polski</w:t>
            </w:r>
          </w:p>
          <w:p w14:paraId="1138030F" w14:textId="0DD5B969" w:rsidR="000302A5" w:rsidRPr="001D28D5" w:rsidRDefault="000302A5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302A5">
              <w:rPr>
                <w:rFonts w:cstheme="minorHAnsi"/>
                <w:bCs/>
                <w:sz w:val="20"/>
                <w:szCs w:val="20"/>
              </w:rPr>
              <w:t xml:space="preserve">Proszę podać </w:t>
            </w:r>
          </w:p>
        </w:tc>
        <w:tc>
          <w:tcPr>
            <w:tcW w:w="4242" w:type="dxa"/>
            <w:vAlign w:val="center"/>
          </w:tcPr>
          <w:p w14:paraId="2CDA02CF" w14:textId="77777777" w:rsidR="000302A5" w:rsidRPr="000017F5" w:rsidRDefault="000302A5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302A5" w:rsidRPr="000017F5" w14:paraId="25BD1D93" w14:textId="77777777" w:rsidTr="00364178">
        <w:trPr>
          <w:trHeight w:val="241"/>
        </w:trPr>
        <w:tc>
          <w:tcPr>
            <w:tcW w:w="650" w:type="dxa"/>
            <w:vAlign w:val="center"/>
          </w:tcPr>
          <w:p w14:paraId="10A45D4E" w14:textId="77777777" w:rsidR="000302A5" w:rsidRPr="000017F5" w:rsidRDefault="000302A5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C9C41CC" w14:textId="317F10A9" w:rsidR="000302A5" w:rsidRPr="001D28D5" w:rsidRDefault="000302A5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302A5">
              <w:rPr>
                <w:rFonts w:cstheme="minorHAnsi"/>
                <w:bCs/>
                <w:sz w:val="20"/>
                <w:szCs w:val="20"/>
              </w:rPr>
              <w:t>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6194D505" w14:textId="77777777" w:rsidR="000302A5" w:rsidRPr="000017F5" w:rsidRDefault="000302A5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237DEF96" w14:textId="77777777" w:rsidR="000302A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5A1A4352" w14:textId="77777777" w:rsidR="000302A5" w:rsidRDefault="000302A5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12D7C7C0" w14:textId="3C9594EE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</w:p>
    <w:p w14:paraId="386BE225" w14:textId="77777777" w:rsidR="000302A5" w:rsidRPr="004810B9" w:rsidRDefault="000302A5" w:rsidP="000302A5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1" w:name="_Hlk223358954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1DCF7FCF" w14:textId="77777777" w:rsidR="000302A5" w:rsidRPr="004810B9" w:rsidRDefault="000302A5" w:rsidP="000302A5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3C66DDEC" w14:textId="77777777" w:rsidR="000302A5" w:rsidRPr="004810B9" w:rsidRDefault="000302A5" w:rsidP="000302A5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515C89A4" w14:textId="77777777" w:rsidR="000302A5" w:rsidRDefault="000302A5" w:rsidP="000302A5">
      <w:pPr>
        <w:spacing w:line="240" w:lineRule="auto"/>
        <w:jc w:val="right"/>
        <w:rPr>
          <w:rFonts w:ascii="Arial Narrow" w:hAnsi="Arial Narrow"/>
        </w:rPr>
      </w:pPr>
    </w:p>
    <w:p w14:paraId="6619296C" w14:textId="77777777" w:rsidR="000302A5" w:rsidRDefault="000302A5" w:rsidP="000302A5">
      <w:pPr>
        <w:spacing w:line="240" w:lineRule="auto"/>
        <w:jc w:val="right"/>
        <w:rPr>
          <w:rFonts w:ascii="Arial Narrow" w:hAnsi="Arial Narrow"/>
        </w:rPr>
      </w:pPr>
    </w:p>
    <w:p w14:paraId="6E57140F" w14:textId="77777777" w:rsidR="000302A5" w:rsidRDefault="000302A5" w:rsidP="000302A5">
      <w:pPr>
        <w:spacing w:line="240" w:lineRule="auto"/>
        <w:jc w:val="right"/>
        <w:rPr>
          <w:rFonts w:ascii="Arial Narrow" w:hAnsi="Arial Narrow"/>
        </w:rPr>
      </w:pPr>
    </w:p>
    <w:p w14:paraId="1DA97F02" w14:textId="77777777" w:rsidR="000302A5" w:rsidRPr="00930771" w:rsidRDefault="000302A5" w:rsidP="000302A5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0A7A3770" w14:textId="77777777" w:rsidR="000302A5" w:rsidRPr="00472D51" w:rsidRDefault="000302A5" w:rsidP="000302A5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1"/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302A5"/>
    <w:rsid w:val="000777FF"/>
    <w:rsid w:val="00143FE4"/>
    <w:rsid w:val="001D28D5"/>
    <w:rsid w:val="00221556"/>
    <w:rsid w:val="00232D5F"/>
    <w:rsid w:val="00364178"/>
    <w:rsid w:val="003B7A3A"/>
    <w:rsid w:val="0055707E"/>
    <w:rsid w:val="005B4FD7"/>
    <w:rsid w:val="009641A1"/>
    <w:rsid w:val="00A16DE5"/>
    <w:rsid w:val="00A20625"/>
    <w:rsid w:val="00B6170D"/>
    <w:rsid w:val="00CA08C7"/>
    <w:rsid w:val="00CA0F66"/>
    <w:rsid w:val="00CD3C32"/>
    <w:rsid w:val="00D26E97"/>
    <w:rsid w:val="00E122B1"/>
    <w:rsid w:val="00EA5D0F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2D5F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32D5F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829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2026-02-05T13:33:00Z</dcterms:created>
  <dcterms:modified xsi:type="dcterms:W3CDTF">2026-03-02T15:24:00Z</dcterms:modified>
</cp:coreProperties>
</file>